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110</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401633</w:t>
      </w:r>
      <w:bookmarkStart w:id="0" w:name="_GoBack"/>
      <w:bookmarkEnd w:id="0"/>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cs="Arial"/>
          <w:b/>
          <w:sz w:val="24"/>
          <w:szCs w:val="24"/>
          <w:lang w:eastAsia="zh-CN"/>
        </w:rPr>
        <w:t>Athens, GR, 26 Feb – 01 Mar</w:t>
      </w:r>
      <w:r>
        <w:rPr>
          <w:rFonts w:ascii="Arial" w:hAnsi="Arial" w:eastAsia="宋体"/>
          <w:b/>
          <w:color w:val="auto"/>
          <w:sz w:val="24"/>
          <w:lang w:eastAsia="zh-CN"/>
        </w:rPr>
        <w:t>, 202</w:t>
      </w:r>
      <w:r>
        <w:rPr>
          <w:rFonts w:hint="eastAsia" w:ascii="Arial" w:hAnsi="Arial" w:eastAsia="宋体"/>
          <w:b/>
          <w:color w:val="auto"/>
          <w:sz w:val="24"/>
          <w:lang w:val="en-US" w:eastAsia="zh-CN"/>
        </w:rPr>
        <w:t>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dual TCI state switching for simultaneous DL reception</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8.3.2.5</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In last RAN4 meeting, RAN4 has spread extensive discussion around the dual TCI state swithcing for simultaneous DL reception and some agreements were achieved in [1], we summarized the agreements on core part as below.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numPr>
                <w:ilvl w:val="0"/>
                <w:numId w:val="3"/>
              </w:numPr>
              <w:overflowPunct/>
              <w:autoSpaceDE/>
              <w:autoSpaceDN/>
              <w:adjustRightInd/>
              <w:spacing w:after="120"/>
              <w:ind w:left="720" w:firstLineChars="0"/>
              <w:textAlignment w:val="auto"/>
              <w:rPr>
                <w:b/>
                <w:bCs/>
                <w:color w:val="0070C0"/>
                <w:szCs w:val="24"/>
                <w:lang w:eastAsia="zh-CN"/>
              </w:rPr>
            </w:pPr>
            <w:r>
              <w:rPr>
                <w:rFonts w:eastAsia="宋体"/>
                <w:color w:val="000000" w:themeColor="text1"/>
                <w:szCs w:val="24"/>
                <w:lang w:eastAsia="zh-CN"/>
                <w14:textFill>
                  <w14:solidFill>
                    <w14:schemeClr w14:val="tx1"/>
                  </w14:solidFill>
                </w14:textFill>
              </w:rPr>
              <w:t>For MAC CE based PDCCH TCI state switch for m-DCI scenario, no RRM requirement is defined for simultaneous PDCCH reception with different QCL typeD in Rel-18 multi-Rx WI.</w:t>
            </w:r>
          </w:p>
          <w:p>
            <w:pPr>
              <w:pStyle w:val="28"/>
              <w:numPr>
                <w:ilvl w:val="0"/>
                <w:numId w:val="3"/>
              </w:numPr>
              <w:overflowPunct/>
              <w:autoSpaceDE/>
              <w:autoSpaceDN/>
              <w:adjustRightInd/>
              <w:spacing w:after="120"/>
              <w:ind w:left="720" w:firstLineChars="0"/>
              <w:textAlignment w:val="auto"/>
              <w:rPr>
                <w:rFonts w:hint="default" w:ascii="Times New Roman" w:hAnsi="Times New Roman" w:eastAsia="Times New Roman" w:cs="Times New Roman"/>
                <w:bCs/>
                <w:kern w:val="0"/>
                <w:sz w:val="20"/>
                <w:szCs w:val="24"/>
                <w:lang w:val="en-US" w:eastAsia="zh-CN" w:bidi="ar-SA"/>
              </w:rPr>
            </w:pPr>
            <w:r>
              <w:rPr>
                <w:rFonts w:eastAsia="宋体"/>
                <w:color w:val="000000" w:themeColor="text1"/>
                <w:szCs w:val="24"/>
                <w:lang w:eastAsia="zh-CN"/>
                <w14:textFill>
                  <w14:solidFill>
                    <w14:schemeClr w14:val="tx1"/>
                  </w14:solidFill>
                </w14:textFill>
              </w:rPr>
              <w:t>Requirements for RRC based dual TCI state switch are defined.</w:t>
            </w: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In this document, we provide our further analysis focus on the remaining general issues around dual TCI state switching for simultaneous multi-panel reception.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During previous meetings, the DCI based PDSCH TCI state switching, MAC CE based PDCCH TCI state switching and RRC based PDCCH TCI state switching are all discussed. We summarize the conclusion for each of them as below:</w:t>
      </w:r>
    </w:p>
    <w:p>
      <w:pPr>
        <w:pStyle w:val="8"/>
        <w:numPr>
          <w:ilvl w:val="0"/>
          <w:numId w:val="5"/>
        </w:numPr>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For DCI based PDSCH TCI state switching,</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eastAsia="宋体"/>
          <w:color w:val="auto"/>
          <w:sz w:val="20"/>
          <w:szCs w:val="20"/>
          <w:highlight w:val="green"/>
          <w:lang w:val="en-US" w:eastAsia="zh-CN"/>
        </w:rPr>
      </w:pPr>
      <w:r>
        <w:rPr>
          <w:rFonts w:hint="default" w:eastAsia="宋体"/>
          <w:color w:val="auto"/>
          <w:sz w:val="20"/>
          <w:szCs w:val="20"/>
          <w:highlight w:val="green"/>
          <w:lang w:val="en-US" w:eastAsia="zh-CN"/>
        </w:rPr>
        <w:t>Requirements for DCI based dual TCI states switch delay for PDSCH reception are defined for known case only</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highlight w:val="green"/>
          <w:lang w:val="en-US" w:eastAsia="zh-CN"/>
        </w:rPr>
      </w:pPr>
      <w:r>
        <w:rPr>
          <w:rFonts w:hint="eastAsia" w:eastAsia="宋体"/>
          <w:color w:val="auto"/>
          <w:sz w:val="20"/>
          <w:szCs w:val="20"/>
          <w:highlight w:val="green"/>
          <w:lang w:val="en-US" w:eastAsia="zh-CN"/>
        </w:rPr>
        <w:t>For sDCI case, r</w:t>
      </w:r>
      <w:r>
        <w:rPr>
          <w:rFonts w:hint="eastAsia"/>
          <w:highlight w:val="green"/>
          <w:lang w:val="en-US" w:eastAsia="zh-CN"/>
        </w:rPr>
        <w:t>esue R16 requirements</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eastAsia="宋体"/>
          <w:color w:val="auto"/>
          <w:sz w:val="20"/>
          <w:szCs w:val="20"/>
          <w:highlight w:val="green"/>
          <w:lang w:val="en-US" w:eastAsia="zh-CN"/>
        </w:rPr>
      </w:pPr>
      <w:r>
        <w:rPr>
          <w:rFonts w:hint="eastAsia" w:eastAsia="宋体"/>
          <w:color w:val="auto"/>
          <w:sz w:val="20"/>
          <w:szCs w:val="20"/>
          <w:highlight w:val="green"/>
          <w:lang w:val="en-US" w:eastAsia="zh-CN"/>
        </w:rPr>
        <w:t>For mDCI case</w:t>
      </w:r>
    </w:p>
    <w:p>
      <w:pPr>
        <w:pStyle w:val="8"/>
        <w:numPr>
          <w:ilvl w:val="0"/>
          <w:numId w:val="7"/>
        </w:numPr>
        <w:bidi w:val="0"/>
        <w:ind w:left="840" w:leftChars="0"/>
        <w:rPr>
          <w:rFonts w:hint="default"/>
          <w:highlight w:val="green"/>
          <w:lang w:val="en-US" w:eastAsia="zh-CN"/>
        </w:rPr>
      </w:pPr>
      <w:r>
        <w:rPr>
          <w:rFonts w:hint="default"/>
          <w:highlight w:val="green"/>
          <w:lang w:val="en-US" w:eastAsia="zh-CN"/>
        </w:rPr>
        <w:t>if gap between (DCI0, PDSCH0), (DCI1, PDSCH1) is not less than timeDurationForQCL</w:t>
      </w:r>
      <w:r>
        <w:rPr>
          <w:rFonts w:hint="eastAsia"/>
          <w:highlight w:val="green"/>
          <w:lang w:val="en-US" w:eastAsia="zh-CN"/>
        </w:rPr>
        <w:t>, reuse Re-16 requirements</w:t>
      </w:r>
    </w:p>
    <w:p>
      <w:pPr>
        <w:pStyle w:val="8"/>
        <w:numPr>
          <w:ilvl w:val="0"/>
          <w:numId w:val="7"/>
        </w:numPr>
        <w:bidi w:val="0"/>
        <w:ind w:left="840" w:leftChars="0"/>
        <w:rPr>
          <w:rFonts w:hint="default"/>
          <w:highlight w:val="yellow"/>
          <w:lang w:val="en-US" w:eastAsia="zh-CN"/>
        </w:rPr>
      </w:pPr>
      <w:r>
        <w:rPr>
          <w:rFonts w:hint="eastAsia"/>
          <w:highlight w:val="yellow"/>
          <w:lang w:val="en-US" w:eastAsia="zh-CN"/>
        </w:rPr>
        <w:t>Otherwise, FFS</w:t>
      </w:r>
    </w:p>
    <w:p>
      <w:pPr>
        <w:pStyle w:val="8"/>
        <w:numPr>
          <w:ilvl w:val="0"/>
          <w:numId w:val="5"/>
        </w:numPr>
        <w:tabs>
          <w:tab w:val="left" w:pos="226"/>
          <w:tab w:val="left" w:pos="284"/>
          <w:tab w:val="left" w:pos="5103"/>
        </w:tabs>
        <w:snapToGrid w:val="0"/>
        <w:spacing w:before="156" w:beforeLines="50"/>
        <w:ind w:left="0" w:leftChars="0" w:firstLine="0" w:firstLineChars="0"/>
        <w:rPr>
          <w:rFonts w:hint="eastAsia" w:eastAsia="宋体"/>
          <w:color w:val="auto"/>
          <w:sz w:val="20"/>
          <w:szCs w:val="20"/>
          <w:lang w:val="en-US" w:eastAsia="zh-CN"/>
        </w:rPr>
      </w:pPr>
      <w:r>
        <w:rPr>
          <w:rFonts w:hint="eastAsia" w:eastAsia="宋体"/>
          <w:color w:val="auto"/>
          <w:sz w:val="20"/>
          <w:szCs w:val="20"/>
          <w:lang w:val="en-US" w:eastAsia="zh-CN"/>
        </w:rPr>
        <w:t>For MAC CE based PDCCH TCI state switching,</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eastAsia="宋体"/>
          <w:color w:val="auto"/>
          <w:sz w:val="20"/>
          <w:szCs w:val="20"/>
          <w:highlight w:val="green"/>
          <w:lang w:val="en-US" w:eastAsia="zh-CN"/>
        </w:rPr>
      </w:pPr>
      <w:r>
        <w:rPr>
          <w:rFonts w:hint="default" w:eastAsia="宋体"/>
          <w:color w:val="auto"/>
          <w:sz w:val="20"/>
          <w:szCs w:val="20"/>
          <w:highlight w:val="green"/>
          <w:lang w:val="en-US" w:eastAsia="zh-CN"/>
        </w:rPr>
        <w:t xml:space="preserve">Requirements for </w:t>
      </w:r>
      <w:r>
        <w:rPr>
          <w:rFonts w:hint="eastAsia" w:eastAsia="宋体"/>
          <w:color w:val="auto"/>
          <w:sz w:val="20"/>
          <w:szCs w:val="20"/>
          <w:highlight w:val="green"/>
          <w:lang w:val="en-US" w:eastAsia="zh-CN"/>
        </w:rPr>
        <w:t xml:space="preserve">MAC CE </w:t>
      </w:r>
      <w:r>
        <w:rPr>
          <w:rFonts w:hint="default" w:eastAsia="宋体"/>
          <w:color w:val="auto"/>
          <w:sz w:val="20"/>
          <w:szCs w:val="20"/>
          <w:highlight w:val="green"/>
          <w:lang w:val="en-US" w:eastAsia="zh-CN"/>
        </w:rPr>
        <w:t>based dual TCI states switch delay for PD</w:t>
      </w:r>
      <w:r>
        <w:rPr>
          <w:rFonts w:hint="eastAsia" w:eastAsia="宋体"/>
          <w:color w:val="auto"/>
          <w:sz w:val="20"/>
          <w:szCs w:val="20"/>
          <w:highlight w:val="green"/>
          <w:lang w:val="en-US" w:eastAsia="zh-CN"/>
        </w:rPr>
        <w:t>C</w:t>
      </w:r>
      <w:r>
        <w:rPr>
          <w:rFonts w:hint="default" w:eastAsia="宋体"/>
          <w:color w:val="auto"/>
          <w:sz w:val="20"/>
          <w:szCs w:val="20"/>
          <w:highlight w:val="green"/>
          <w:lang w:val="en-US" w:eastAsia="zh-CN"/>
        </w:rPr>
        <w:t>CH reception are defined for known case only</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highlight w:val="green"/>
          <w:lang w:val="en-US" w:eastAsia="zh-CN"/>
        </w:rPr>
      </w:pPr>
      <w:r>
        <w:rPr>
          <w:rFonts w:hint="eastAsia" w:eastAsia="宋体"/>
          <w:color w:val="auto"/>
          <w:sz w:val="20"/>
          <w:szCs w:val="20"/>
          <w:highlight w:val="green"/>
          <w:lang w:val="en-US" w:eastAsia="zh-CN"/>
        </w:rPr>
        <w:t>For sDCI case, r</w:t>
      </w:r>
      <w:r>
        <w:rPr>
          <w:rFonts w:hint="eastAsia"/>
          <w:highlight w:val="green"/>
          <w:lang w:val="en-US" w:eastAsia="zh-CN"/>
        </w:rPr>
        <w:t>esue R16 requirements</w:t>
      </w:r>
    </w:p>
    <w:p>
      <w:pPr>
        <w:pStyle w:val="8"/>
        <w:numPr>
          <w:ilvl w:val="0"/>
          <w:numId w:val="6"/>
        </w:numPr>
        <w:tabs>
          <w:tab w:val="left" w:pos="226"/>
          <w:tab w:val="left" w:pos="284"/>
          <w:tab w:val="left" w:pos="5103"/>
        </w:tabs>
        <w:snapToGrid w:val="0"/>
        <w:spacing w:before="156" w:beforeLines="50"/>
        <w:ind w:left="420" w:leftChars="0" w:hanging="420" w:firstLineChars="0"/>
        <w:rPr>
          <w:rFonts w:hint="eastAsia" w:eastAsia="宋体"/>
          <w:color w:val="auto"/>
          <w:sz w:val="20"/>
          <w:szCs w:val="20"/>
          <w:highlight w:val="green"/>
          <w:lang w:val="en-US" w:eastAsia="zh-CN"/>
        </w:rPr>
      </w:pPr>
      <w:r>
        <w:rPr>
          <w:rFonts w:hint="eastAsia" w:eastAsia="宋体"/>
          <w:color w:val="auto"/>
          <w:sz w:val="20"/>
          <w:szCs w:val="20"/>
          <w:highlight w:val="green"/>
          <w:lang w:val="en-US" w:eastAsia="zh-CN"/>
        </w:rPr>
        <w:t xml:space="preserve">For mDCI case, </w:t>
      </w:r>
    </w:p>
    <w:p>
      <w:pPr>
        <w:pStyle w:val="8"/>
        <w:numPr>
          <w:ilvl w:val="0"/>
          <w:numId w:val="8"/>
        </w:numPr>
        <w:bidi w:val="0"/>
        <w:ind w:left="840" w:leftChars="0" w:hanging="420" w:firstLineChars="0"/>
        <w:rPr>
          <w:rFonts w:hint="eastAsia" w:eastAsia="宋体"/>
          <w:color w:val="auto"/>
          <w:sz w:val="20"/>
          <w:szCs w:val="20"/>
          <w:highlight w:val="green"/>
          <w:lang w:val="en-US" w:eastAsia="zh-CN"/>
        </w:rPr>
      </w:pPr>
      <w:r>
        <w:rPr>
          <w:rFonts w:hint="eastAsia" w:eastAsia="宋体"/>
          <w:color w:val="auto"/>
          <w:sz w:val="20"/>
          <w:szCs w:val="20"/>
          <w:highlight w:val="green"/>
          <w:lang w:val="en-US" w:eastAsia="zh-CN"/>
        </w:rPr>
        <w:t>r</w:t>
      </w:r>
      <w:r>
        <w:rPr>
          <w:rFonts w:hint="eastAsia"/>
          <w:highlight w:val="green"/>
          <w:lang w:val="en-US" w:eastAsia="zh-CN"/>
        </w:rPr>
        <w:t>esue R16 requirements</w:t>
      </w:r>
    </w:p>
    <w:p>
      <w:pPr>
        <w:pStyle w:val="8"/>
        <w:numPr>
          <w:ilvl w:val="0"/>
          <w:numId w:val="8"/>
        </w:numPr>
        <w:bidi w:val="0"/>
        <w:ind w:left="840" w:leftChars="0" w:hanging="420" w:firstLineChars="0"/>
        <w:rPr>
          <w:rFonts w:hint="eastAsia" w:eastAsia="宋体"/>
          <w:color w:val="auto"/>
          <w:sz w:val="20"/>
          <w:szCs w:val="20"/>
          <w:highlight w:val="green"/>
          <w:lang w:val="en-US" w:eastAsia="zh-CN"/>
        </w:rPr>
      </w:pPr>
      <w:r>
        <w:rPr>
          <w:rFonts w:hint="eastAsia" w:eastAsia="宋体"/>
          <w:color w:val="auto"/>
          <w:sz w:val="20"/>
          <w:szCs w:val="20"/>
          <w:highlight w:val="green"/>
          <w:lang w:val="en-US" w:eastAsia="zh-CN"/>
        </w:rPr>
        <w:t>No RRM requirement is defined for simultaneous PDCCH reception with different QCL typeD in Rel-18 multi-Rx WI.</w:t>
      </w:r>
    </w:p>
    <w:p>
      <w:pPr>
        <w:pStyle w:val="8"/>
        <w:numPr>
          <w:ilvl w:val="0"/>
          <w:numId w:val="5"/>
        </w:numPr>
        <w:tabs>
          <w:tab w:val="left" w:pos="226"/>
          <w:tab w:val="left" w:pos="284"/>
          <w:tab w:val="left" w:pos="5103"/>
        </w:tabs>
        <w:snapToGrid w:val="0"/>
        <w:spacing w:before="156" w:beforeLines="50"/>
        <w:ind w:left="0" w:leftChars="0" w:firstLine="0" w:firstLineChars="0"/>
        <w:rPr>
          <w:rFonts w:hint="default" w:eastAsia="宋体"/>
          <w:color w:val="auto"/>
          <w:sz w:val="20"/>
          <w:szCs w:val="20"/>
          <w:lang w:val="en-US" w:eastAsia="zh-CN"/>
        </w:rPr>
      </w:pPr>
      <w:r>
        <w:rPr>
          <w:rFonts w:hint="eastAsia" w:eastAsia="宋体"/>
          <w:color w:val="auto"/>
          <w:sz w:val="20"/>
          <w:szCs w:val="20"/>
          <w:lang w:val="en-US" w:eastAsia="zh-CN"/>
        </w:rPr>
        <w:t xml:space="preserve">For RRC based PDCCH TCI state switching, </w:t>
      </w:r>
    </w:p>
    <w:p>
      <w:pPr>
        <w:pStyle w:val="8"/>
        <w:numPr>
          <w:ilvl w:val="0"/>
          <w:numId w:val="6"/>
        </w:numPr>
        <w:tabs>
          <w:tab w:val="left" w:pos="226"/>
          <w:tab w:val="left" w:pos="284"/>
          <w:tab w:val="left" w:pos="5103"/>
        </w:tabs>
        <w:snapToGrid w:val="0"/>
        <w:spacing w:before="156" w:beforeLines="50"/>
        <w:ind w:left="420" w:leftChars="0" w:hanging="420" w:firstLineChars="0"/>
        <w:rPr>
          <w:rFonts w:hint="eastAsia" w:eastAsia="宋体"/>
          <w:color w:val="auto"/>
          <w:sz w:val="20"/>
          <w:szCs w:val="20"/>
          <w:highlight w:val="green"/>
          <w:lang w:val="en-US" w:eastAsia="zh-CN"/>
        </w:rPr>
      </w:pPr>
      <w:r>
        <w:rPr>
          <w:rFonts w:hint="eastAsia" w:eastAsia="宋体"/>
          <w:color w:val="auto"/>
          <w:sz w:val="20"/>
          <w:szCs w:val="20"/>
          <w:highlight w:val="green"/>
          <w:lang w:val="en-US" w:eastAsia="zh-CN"/>
        </w:rPr>
        <w:t>The requirements for multi-RX operation on RRC based PDCCH TCI state switch will be considered only if specifications support the procedure.</w:t>
      </w:r>
    </w:p>
    <w:p>
      <w:pPr>
        <w:pStyle w:val="8"/>
        <w:numPr>
          <w:ilvl w:val="0"/>
          <w:numId w:val="6"/>
        </w:numPr>
        <w:tabs>
          <w:tab w:val="left" w:pos="226"/>
          <w:tab w:val="left" w:pos="284"/>
          <w:tab w:val="left" w:pos="5103"/>
        </w:tabs>
        <w:snapToGrid w:val="0"/>
        <w:spacing w:before="156" w:beforeLines="50"/>
        <w:ind w:left="420" w:leftChars="0" w:hanging="420" w:firstLineChars="0"/>
        <w:rPr>
          <w:rFonts w:hint="eastAsia" w:eastAsia="宋体"/>
          <w:color w:val="auto"/>
          <w:sz w:val="20"/>
          <w:szCs w:val="20"/>
          <w:highlight w:val="yellow"/>
          <w:lang w:val="en-US" w:eastAsia="zh-CN"/>
        </w:rPr>
      </w:pPr>
      <w:r>
        <w:rPr>
          <w:rFonts w:hint="eastAsia" w:eastAsia="宋体"/>
          <w:color w:val="auto"/>
          <w:sz w:val="20"/>
          <w:szCs w:val="20"/>
          <w:highlight w:val="green"/>
          <w:lang w:val="en-US" w:eastAsia="zh-CN"/>
        </w:rPr>
        <w:t>Requirements for RRC based dual TCI state switch are defined.</w:t>
      </w:r>
      <w:r>
        <w:rPr>
          <w:rFonts w:hint="eastAsia" w:eastAsia="宋体"/>
          <w:color w:val="auto"/>
          <w:sz w:val="20"/>
          <w:szCs w:val="20"/>
          <w:highlight w:val="yellow"/>
          <w:lang w:val="en-US" w:eastAsia="zh-CN"/>
        </w:rPr>
        <w:t xml:space="preserve"> The exact requirements are FFS.</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So in this paper, we discuss on the remaining issues highlighted in yellow.</w:t>
      </w:r>
    </w:p>
    <w:p>
      <w:pPr>
        <w:numPr>
          <w:ilvl w:val="0"/>
          <w:numId w:val="0"/>
        </w:numPr>
        <w:ind w:leftChars="0"/>
        <w:rPr>
          <w:rFonts w:hint="default" w:ascii="Times New Roman" w:hAnsi="Times New Roman" w:eastAsia="宋体" w:cs="Times New Roman"/>
          <w:b/>
          <w:bCs/>
          <w:u w:val="single"/>
          <w:lang w:val="en-US" w:eastAsia="zh-CN"/>
        </w:rPr>
      </w:pPr>
      <w:r>
        <w:rPr>
          <w:rFonts w:hint="eastAsia" w:ascii="Times New Roman" w:hAnsi="Times New Roman" w:eastAsia="宋体" w:cs="Times New Roman"/>
          <w:b/>
          <w:bCs/>
          <w:u w:val="single"/>
          <w:lang w:val="en-US" w:eastAsia="ko-KR"/>
        </w:rPr>
        <w:t>DCI based dual TCI state switch delay for mDCI</w:t>
      </w:r>
    </w:p>
    <w:p>
      <w:pPr>
        <w:numPr>
          <w:ilvl w:val="0"/>
          <w:numId w:val="0"/>
        </w:numPr>
        <w:ind w:leftChars="0"/>
        <w:rPr>
          <w:rFonts w:hint="eastAsia"/>
          <w:lang w:val="en-US" w:eastAsia="zh-CN"/>
        </w:rPr>
      </w:pPr>
      <w:r>
        <w:rPr>
          <w:rFonts w:hint="eastAsia"/>
          <w:lang w:val="en-US" w:eastAsia="zh-CN"/>
        </w:rPr>
        <w:t xml:space="preserve">Around this issue, warm discussion happens in last meeting. </w:t>
      </w:r>
    </w:p>
    <w:p>
      <w:pPr>
        <w:numPr>
          <w:ilvl w:val="0"/>
          <w:numId w:val="0"/>
        </w:numPr>
        <w:ind w:leftChars="0"/>
        <w:jc w:val="center"/>
        <w:rPr>
          <w:i/>
          <w:iCs/>
          <w:color w:val="0070C0"/>
          <w:szCs w:val="24"/>
          <w:lang w:eastAsia="zh-CN"/>
        </w:rPr>
      </w:pPr>
      <w:r>
        <w:rPr>
          <w:i/>
          <w:iCs/>
          <w:color w:val="0070C0"/>
          <w:szCs w:val="24"/>
          <w:lang w:eastAsia="zh-CN"/>
        </w:rPr>
        <w:drawing>
          <wp:inline distT="0" distB="0" distL="0" distR="0">
            <wp:extent cx="4679315" cy="2037715"/>
            <wp:effectExtent l="0" t="0" r="14605" b="4445"/>
            <wp:docPr id="19" name="Picture 2" descr="A diagram of a computer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 descr="A diagram of a computer program&#10;&#10;Description automatically generated with medium confidence"/>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4679315" cy="2037715"/>
                    </a:xfrm>
                    <a:prstGeom prst="rect">
                      <a:avLst/>
                    </a:prstGeom>
                  </pic:spPr>
                </pic:pic>
              </a:graphicData>
            </a:graphic>
          </wp:inline>
        </w:drawing>
      </w:r>
    </w:p>
    <w:p>
      <w:pPr>
        <w:numPr>
          <w:ilvl w:val="0"/>
          <w:numId w:val="0"/>
        </w:numPr>
        <w:ind w:leftChars="0"/>
        <w:jc w:val="center"/>
        <w:rPr>
          <w:rFonts w:hint="default"/>
          <w:lang w:val="en-US" w:eastAsia="zh-CN"/>
        </w:rPr>
      </w:pPr>
      <w:r>
        <w:rPr>
          <w:rFonts w:hint="eastAsia"/>
          <w:lang w:val="en-US" w:eastAsia="zh-CN"/>
        </w:rPr>
        <w:t>Figure 1. Timeline for mTDI based dual TCI state switching</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RAN1 has already sent LS reply to RAN4 in [2] and the in which it is identified that no restriction on the duration between point B and point C. Furthermore, during the discussion, RAN4 achieves the following common understanding: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0"/>
              </w:numPr>
              <w:ind w:leftChars="0"/>
              <w:rPr>
                <w:rFonts w:hint="eastAsia" w:eastAsia="宋体"/>
                <w:color w:val="auto"/>
                <w:sz w:val="20"/>
                <w:szCs w:val="20"/>
                <w:vertAlign w:val="baseline"/>
                <w:lang w:val="en-US" w:eastAsia="zh-CN"/>
              </w:rPr>
            </w:pPr>
            <w:r>
              <w:rPr>
                <w:rFonts w:hint="eastAsia"/>
                <w:lang w:val="en-US" w:eastAsia="zh-CN"/>
              </w:rPr>
              <w:t>For DCI based TCI state switch, switching happens within CP and UE can receive entire timeDurationForQCL. Based on this assumption, please discuss following.</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Therefore, based on RAN1 clarification and RAN4 common understanding, we believe several principles should be the prerequisite of the discussion:</w:t>
      </w:r>
    </w:p>
    <w:p>
      <w:pPr>
        <w:pStyle w:val="8"/>
        <w:numPr>
          <w:ilvl w:val="0"/>
          <w:numId w:val="9"/>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P1: Since the beam switching only happens within CP, so during the whole timeDurationForQCL, UE can receive other DCI or other PDSCH with different TCI state assumption. This is the general principle.</w:t>
      </w:r>
    </w:p>
    <w:p>
      <w:pPr>
        <w:pStyle w:val="8"/>
        <w:numPr>
          <w:ilvl w:val="0"/>
          <w:numId w:val="9"/>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 xml:space="preserve">P2: For the overlapping PDSCHs, which can only be received via beam pair reported through GBBR, no matter the dual TCI state switching happens in sequence or in parallel. </w:t>
      </w:r>
    </w:p>
    <w:p>
      <w:pPr>
        <w:pStyle w:val="8"/>
        <w:numPr>
          <w:ilvl w:val="0"/>
          <w:numId w:val="9"/>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P3: For the non-overlapping PDSCHs, which can be received via independent beams reported through non-GBBR or beam pair reported through GBBR.</w:t>
      </w:r>
    </w:p>
    <w:p>
      <w:pPr>
        <w:pStyle w:val="8"/>
        <w:numPr>
          <w:ilvl w:val="0"/>
          <w:numId w:val="9"/>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P4: When receiving DCI 0(reported through GBBR) which scheduling PDSCH 0, since unsure whether and when any overlapping PDSCH 1 would be scheduled, the behavior of TCI state switching at UE side is same as the single TCI state swithching case.</w:t>
      </w:r>
    </w:p>
    <w:p>
      <w:pPr>
        <w:numPr>
          <w:ilvl w:val="0"/>
          <w:numId w:val="0"/>
        </w:numPr>
        <w:ind w:leftChars="0"/>
        <w:rPr>
          <w:rFonts w:hint="eastAsia"/>
          <w:b/>
          <w:bCs/>
          <w:lang w:val="en-US" w:eastAsia="zh-CN"/>
        </w:rPr>
      </w:pPr>
      <w:r>
        <w:rPr>
          <w:rFonts w:hint="eastAsia"/>
          <w:b/>
          <w:bCs/>
          <w:lang w:val="en-US" w:eastAsia="zh-CN"/>
        </w:rPr>
        <w:t>Proposal 1: Regarding the mDCI based dual TCI state switching, some principles should be considered:</w:t>
      </w:r>
    </w:p>
    <w:p>
      <w:pPr>
        <w:numPr>
          <w:ilvl w:val="0"/>
          <w:numId w:val="10"/>
        </w:numPr>
        <w:ind w:left="840" w:leftChars="0" w:hanging="420" w:firstLineChars="0"/>
        <w:rPr>
          <w:rFonts w:hint="default"/>
          <w:b/>
          <w:bCs/>
          <w:lang w:val="en-US" w:eastAsia="zh-CN"/>
        </w:rPr>
      </w:pPr>
      <w:r>
        <w:rPr>
          <w:rFonts w:hint="eastAsia"/>
          <w:b/>
          <w:bCs/>
          <w:lang w:val="en-US" w:eastAsia="zh-CN"/>
        </w:rPr>
        <w:t>P1: Since the beam switching only happens within CP, so during the whole timeDurationForQCL, UE can receive other DCI or other PDSCH with different TCI state assumption. This is the general principle.</w:t>
      </w:r>
    </w:p>
    <w:p>
      <w:pPr>
        <w:numPr>
          <w:ilvl w:val="0"/>
          <w:numId w:val="10"/>
        </w:numPr>
        <w:ind w:left="840" w:leftChars="0" w:hanging="420" w:firstLineChars="0"/>
        <w:rPr>
          <w:rFonts w:hint="default"/>
          <w:b/>
          <w:bCs/>
          <w:lang w:val="en-US" w:eastAsia="zh-CN"/>
        </w:rPr>
      </w:pPr>
      <w:r>
        <w:rPr>
          <w:rFonts w:hint="eastAsia"/>
          <w:b/>
          <w:bCs/>
          <w:lang w:val="en-US" w:eastAsia="zh-CN"/>
        </w:rPr>
        <w:t xml:space="preserve">P2: For the overlapping PDSCHs, which can only be received via beam pair reported through GBBR, no matter the dual TCI state switching happens in sequence or in parallel. </w:t>
      </w:r>
    </w:p>
    <w:p>
      <w:pPr>
        <w:numPr>
          <w:ilvl w:val="0"/>
          <w:numId w:val="10"/>
        </w:numPr>
        <w:ind w:left="840" w:leftChars="0" w:hanging="420" w:firstLineChars="0"/>
        <w:rPr>
          <w:rFonts w:hint="default"/>
          <w:b/>
          <w:bCs/>
          <w:lang w:val="en-US" w:eastAsia="zh-CN"/>
        </w:rPr>
      </w:pPr>
      <w:r>
        <w:rPr>
          <w:rFonts w:hint="eastAsia"/>
          <w:b/>
          <w:bCs/>
          <w:lang w:val="en-US" w:eastAsia="zh-CN"/>
        </w:rPr>
        <w:t>P3: For the non-overlapping PDSCHs, which can be received via independent beams reported through non-GBBR or beam pair reported through GBBR.</w:t>
      </w:r>
    </w:p>
    <w:p>
      <w:pPr>
        <w:numPr>
          <w:ilvl w:val="0"/>
          <w:numId w:val="10"/>
        </w:numPr>
        <w:ind w:left="840" w:leftChars="0" w:hanging="420" w:firstLineChars="0"/>
        <w:rPr>
          <w:rFonts w:hint="eastAsia"/>
          <w:lang w:val="en-US" w:eastAsia="zh-CN"/>
        </w:rPr>
      </w:pPr>
      <w:r>
        <w:rPr>
          <w:rFonts w:hint="eastAsia"/>
          <w:b/>
          <w:bCs/>
          <w:lang w:val="en-US" w:eastAsia="zh-CN"/>
        </w:rPr>
        <w:t>P4: When receiving DCI 0(reported through GBBR) which scheduling PDSCH 0, since unsure whether and when any overlapping PDSCH 1 would be scheduled, the behavior of TCI state switching at UE side is same as the single TCI state swithching case.</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Based on these principles, with respect to the beam pair case and non beam pair case, we have suggestions as below:</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If TCI 1 and TCI 2 are a beam pair, UE to receive on TCI 1 and TCI 2 between C and D. After D, to receive on TCI 2 and TCI 4. Between C and D, UE capable of multi-Rx can receive overlapping PDSCH 0 and PDSCH 1 simultaneously.</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Otherwise, UE to receive on TCI 2 alone till D. After D, UE can receive on TCI 2 and TCI 4.</w:t>
      </w:r>
    </w:p>
    <w:p>
      <w:pPr>
        <w:numPr>
          <w:ilvl w:val="0"/>
          <w:numId w:val="0"/>
        </w:numPr>
        <w:ind w:leftChars="0"/>
        <w:rPr>
          <w:rFonts w:hint="eastAsia"/>
          <w:b/>
          <w:bCs/>
          <w:lang w:val="en-US" w:eastAsia="zh-CN"/>
        </w:rPr>
      </w:pPr>
      <w:r>
        <w:rPr>
          <w:rFonts w:hint="eastAsia"/>
          <w:b/>
          <w:bCs/>
          <w:lang w:val="en-US" w:eastAsia="zh-CN"/>
        </w:rPr>
        <w:t>Proposal 2: If TCI 1 and TCI 2 are in a beam pair, UE to receive on TCI 1 and TCI 2 between C and D. After D, to receive on TCI 2 and TCI 4. Between C and D, UE capable of multi-Rx can receive overlapping PDSCH 0 and PDSCH 1 simultaneously. Otherwise, UE to receive on TCI 2 alone till D. After D, UE can receive on TCI 2 and TCI 4.</w:t>
      </w:r>
    </w:p>
    <w:p>
      <w:pPr>
        <w:numPr>
          <w:ilvl w:val="0"/>
          <w:numId w:val="0"/>
        </w:numPr>
        <w:ind w:leftChars="0"/>
        <w:rPr>
          <w:rFonts w:hint="eastAsia"/>
          <w:b/>
          <w:bCs/>
          <w:lang w:val="en-US" w:eastAsia="zh-CN"/>
        </w:rPr>
      </w:pPr>
    </w:p>
    <w:p>
      <w:pPr>
        <w:numPr>
          <w:ilvl w:val="0"/>
          <w:numId w:val="0"/>
        </w:numPr>
        <w:ind w:leftChars="0"/>
        <w:rPr>
          <w:rFonts w:hint="default" w:ascii="Times New Roman" w:hAnsi="Times New Roman" w:eastAsia="宋体" w:cs="Times New Roman"/>
          <w:b/>
          <w:bCs/>
          <w:u w:val="single"/>
          <w:lang w:val="en-US" w:eastAsia="zh-CN"/>
        </w:rPr>
      </w:pPr>
      <w:r>
        <w:rPr>
          <w:rFonts w:hint="eastAsia" w:eastAsia="宋体" w:cs="Times New Roman"/>
          <w:b/>
          <w:bCs/>
          <w:u w:val="single"/>
          <w:lang w:val="en-US" w:eastAsia="zh-CN"/>
        </w:rPr>
        <w:t>RRC</w:t>
      </w:r>
      <w:r>
        <w:rPr>
          <w:rFonts w:hint="eastAsia" w:ascii="Times New Roman" w:hAnsi="Times New Roman" w:eastAsia="宋体" w:cs="Times New Roman"/>
          <w:b/>
          <w:bCs/>
          <w:u w:val="single"/>
          <w:lang w:val="en-US" w:eastAsia="ko-KR"/>
        </w:rPr>
        <w:t xml:space="preserve"> based dual TCI state switch</w:t>
      </w:r>
      <w:r>
        <w:rPr>
          <w:rFonts w:hint="eastAsia" w:eastAsia="宋体" w:cs="Times New Roman"/>
          <w:b/>
          <w:bCs/>
          <w:u w:val="single"/>
          <w:lang w:val="en-US" w:eastAsia="zh-CN"/>
        </w:rPr>
        <w:t>ing</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It has been determined in last meeting that the requiremens of RRC based dual TCI tate switching should be defined. While the exact requirements are still FFS. To our understanding, from the perspective of UE behavior, RRC based TCI state switching are very similar as the MAC CE based TCI state switching, just one additional applicability condition is assumed, i.e. only a single TCI state for the corresponding CORESET is configured in hte TCI state list.</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Referring to the dual TCI state switching, including single TCI to dual TCI and dual TCI to dual TCI, the requirements are still similar as that for MAC CE based dual TCI state switching, so continue to reuse the legacy requirements of RRC based TCI state switching is suggested by us, no additional delay is needed.</w:t>
      </w:r>
    </w:p>
    <w:p>
      <w:pPr>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textAlignment w:val="auto"/>
        <w:rPr>
          <w:rFonts w:hint="default"/>
          <w:b/>
          <w:bCs/>
          <w:lang w:val="en-US" w:eastAsia="zh-CN"/>
        </w:rPr>
      </w:pPr>
      <w:r>
        <w:rPr>
          <w:rFonts w:hint="eastAsia"/>
          <w:b/>
          <w:bCs/>
          <w:lang w:val="en-US" w:eastAsia="zh-CN"/>
        </w:rPr>
        <w:t>Proposal 3: For RRC based dual TCI state switching, legacy RRC based TCI state switching requirements is applied for PDCCH TCI state.</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around the dual TCI state witching for simultaneous DL reception from different directions</w:t>
      </w:r>
      <w:r>
        <w:rPr>
          <w:rFonts w:eastAsia="宋体"/>
          <w:bCs/>
          <w:color w:val="auto"/>
          <w:sz w:val="20"/>
          <w:szCs w:val="20"/>
          <w:lang w:val="en-GB" w:eastAsia="zh-CN"/>
        </w:rPr>
        <w:t>:</w:t>
      </w:r>
    </w:p>
    <w:p>
      <w:pPr>
        <w:numPr>
          <w:ilvl w:val="0"/>
          <w:numId w:val="0"/>
        </w:numPr>
        <w:ind w:leftChars="0"/>
        <w:rPr>
          <w:rFonts w:hint="eastAsia"/>
          <w:b/>
          <w:bCs/>
          <w:lang w:val="en-US" w:eastAsia="zh-CN"/>
        </w:rPr>
      </w:pPr>
      <w:r>
        <w:rPr>
          <w:rFonts w:hint="eastAsia"/>
          <w:b/>
          <w:bCs/>
          <w:lang w:val="en-US" w:eastAsia="zh-CN"/>
        </w:rPr>
        <w:t>Proposal 1: Regarding the mDCI based dual TCI state switching, some principles should be considered:</w:t>
      </w:r>
    </w:p>
    <w:p>
      <w:pPr>
        <w:numPr>
          <w:ilvl w:val="0"/>
          <w:numId w:val="10"/>
        </w:numPr>
        <w:ind w:left="840" w:leftChars="0" w:hanging="420" w:firstLineChars="0"/>
        <w:rPr>
          <w:rFonts w:hint="default"/>
          <w:b/>
          <w:bCs/>
          <w:lang w:val="en-US" w:eastAsia="zh-CN"/>
        </w:rPr>
      </w:pPr>
      <w:r>
        <w:rPr>
          <w:rFonts w:hint="eastAsia"/>
          <w:b/>
          <w:bCs/>
          <w:lang w:val="en-US" w:eastAsia="zh-CN"/>
        </w:rPr>
        <w:t>P1: Since the beam switching only happens within CP, so during the whole timeDurationForQCL, UE can receive other DCI or other PDSCH with different TCI state assumption. This is the general principle.</w:t>
      </w:r>
    </w:p>
    <w:p>
      <w:pPr>
        <w:numPr>
          <w:ilvl w:val="0"/>
          <w:numId w:val="10"/>
        </w:numPr>
        <w:ind w:left="840" w:leftChars="0" w:hanging="420" w:firstLineChars="0"/>
        <w:rPr>
          <w:rFonts w:hint="default"/>
          <w:b/>
          <w:bCs/>
          <w:lang w:val="en-US" w:eastAsia="zh-CN"/>
        </w:rPr>
      </w:pPr>
      <w:r>
        <w:rPr>
          <w:rFonts w:hint="eastAsia"/>
          <w:b/>
          <w:bCs/>
          <w:lang w:val="en-US" w:eastAsia="zh-CN"/>
        </w:rPr>
        <w:t xml:space="preserve">P2: For the overlapping PDSCHs, which can only be received via beam pair reported through GBBR, no matter the dual TCI state switching happens in sequence or in parallel. </w:t>
      </w:r>
    </w:p>
    <w:p>
      <w:pPr>
        <w:numPr>
          <w:ilvl w:val="0"/>
          <w:numId w:val="10"/>
        </w:numPr>
        <w:ind w:left="840" w:leftChars="0" w:hanging="420" w:firstLineChars="0"/>
        <w:rPr>
          <w:rFonts w:hint="default"/>
          <w:b/>
          <w:bCs/>
          <w:lang w:val="en-US" w:eastAsia="zh-CN"/>
        </w:rPr>
      </w:pPr>
      <w:r>
        <w:rPr>
          <w:rFonts w:hint="eastAsia"/>
          <w:b/>
          <w:bCs/>
          <w:lang w:val="en-US" w:eastAsia="zh-CN"/>
        </w:rPr>
        <w:t>P3: For the non-overlapping PDSCHs, which can be received via independent beams reported through non-GBBR or beam pair reported through GBBR.</w:t>
      </w:r>
    </w:p>
    <w:p>
      <w:pPr>
        <w:numPr>
          <w:ilvl w:val="0"/>
          <w:numId w:val="10"/>
        </w:numPr>
        <w:ind w:left="840" w:leftChars="0" w:hanging="420" w:firstLineChars="0"/>
        <w:rPr>
          <w:rFonts w:hint="eastAsia"/>
          <w:b/>
          <w:bCs/>
          <w:lang w:val="en-US" w:eastAsia="zh-CN"/>
        </w:rPr>
      </w:pPr>
      <w:r>
        <w:rPr>
          <w:rFonts w:hint="eastAsia"/>
          <w:b/>
          <w:bCs/>
          <w:lang w:val="en-US" w:eastAsia="zh-CN"/>
        </w:rPr>
        <w:t>P4: When receiving DCI 0(reported through GBBR) which scheduling PDSCH 0, since unsure whether and when any overlapping PDSCH 1 would be scheduled, the behavior of TCI state switching at UE side is same as the single TCI state swithching case.</w:t>
      </w:r>
    </w:p>
    <w:p>
      <w:pPr>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textAlignment w:val="auto"/>
        <w:rPr>
          <w:rFonts w:hint="eastAsia"/>
          <w:b/>
          <w:bCs/>
          <w:lang w:val="en-US" w:eastAsia="zh-CN"/>
        </w:rPr>
      </w:pPr>
      <w:r>
        <w:rPr>
          <w:rFonts w:hint="eastAsia"/>
          <w:b/>
          <w:bCs/>
          <w:lang w:val="en-US" w:eastAsia="zh-CN"/>
        </w:rPr>
        <w:t>Proposal 2: If TCI 1 and TCI 2 are in a beam pair, UE to receive on TCI 1 and TCI 2 between C and D. After D, to receive on TCI 2 and TCI 4. Between C and D, UE capable of multi-Rx can receive overlapping PDSCH 0 and PDSCH 1 simultaneously. Otherwise, UE to receive on TCI 2 alone till D. After D, UE can receive on TCI 2 and TCI 4.</w:t>
      </w:r>
    </w:p>
    <w:p>
      <w:pPr>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textAlignment w:val="auto"/>
        <w:rPr>
          <w:rFonts w:hint="eastAsia"/>
          <w:b/>
          <w:bCs/>
          <w:lang w:val="en-GB" w:eastAsia="zh-CN"/>
        </w:rPr>
      </w:pPr>
      <w:r>
        <w:rPr>
          <w:rFonts w:hint="eastAsia"/>
          <w:b/>
          <w:bCs/>
          <w:lang w:val="en-US" w:eastAsia="zh-CN"/>
        </w:rPr>
        <w:t>Proposal 3: For RRC based dual TCI state switching, legacy RRC based TCI state switching requirements is applied for PDCCH TCI state.</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11"/>
        </w:numPr>
        <w:ind w:leftChars="0"/>
        <w:rPr>
          <w:rFonts w:hint="eastAsia"/>
          <w:color w:val="auto"/>
          <w:highlight w:val="none"/>
          <w:lang w:val="en-US" w:eastAsia="zh-CN"/>
        </w:rPr>
      </w:pPr>
      <w:r>
        <w:rPr>
          <w:rFonts w:hint="eastAsia"/>
          <w:color w:val="auto"/>
          <w:highlight w:val="none"/>
          <w:lang w:val="en-US" w:eastAsia="zh-CN"/>
        </w:rPr>
        <w:t xml:space="preserve">R4-2321602 </w:t>
      </w:r>
      <w:r>
        <w:rPr>
          <w:rFonts w:hint="default"/>
          <w:color w:val="auto"/>
          <w:highlight w:val="none"/>
          <w:lang w:val="en-US" w:eastAsia="zh-CN"/>
        </w:rPr>
        <w:t>“</w:t>
      </w:r>
      <w:r>
        <w:rPr>
          <w:rFonts w:hint="eastAsia"/>
          <w:color w:val="auto"/>
          <w:highlight w:val="none"/>
          <w:lang w:val="en-US" w:eastAsia="zh-CN"/>
        </w:rPr>
        <w:t>WF on core maintenance and performance part for multi-Rx WI</w:t>
      </w:r>
      <w:r>
        <w:rPr>
          <w:rFonts w:hint="default"/>
          <w:color w:val="auto"/>
          <w:highlight w:val="none"/>
          <w:lang w:val="en-US" w:eastAsia="zh-CN"/>
        </w:rPr>
        <w:t>”</w:t>
      </w:r>
      <w:r>
        <w:rPr>
          <w:rFonts w:hint="eastAsia"/>
          <w:color w:val="auto"/>
          <w:highlight w:val="none"/>
          <w:lang w:val="en-US" w:eastAsia="zh-CN"/>
        </w:rPr>
        <w:t>, vivo, Ericsson.</w:t>
      </w:r>
    </w:p>
    <w:p>
      <w:pPr>
        <w:numPr>
          <w:ilvl w:val="0"/>
          <w:numId w:val="0"/>
        </w:numPr>
        <w:rPr>
          <w:rFonts w:hint="default"/>
          <w:lang w:val="en-US" w:eastAsia="zh-CN"/>
        </w:rPr>
      </w:pPr>
      <w:r>
        <w:rPr>
          <w:rFonts w:hint="eastAsia"/>
          <w:lang w:val="en-US" w:eastAsia="zh-CN"/>
        </w:rPr>
        <w:t>[2] RAN1-2310581, Reply LS on Dual TCI state switching in mDCI, Ericsson, RAN1 #114bis.</w:t>
      </w:r>
    </w:p>
    <w:p>
      <w:pPr>
        <w:pStyle w:val="9"/>
        <w:numPr>
          <w:ilvl w:val="0"/>
          <w:numId w:val="0"/>
        </w:numPr>
        <w:ind w:leftChars="0"/>
        <w:rPr>
          <w:rFonts w:hint="default"/>
          <w:color w:val="auto"/>
          <w:lang w:val="en-US" w:eastAsia="zh-CN"/>
        </w:rPr>
      </w:pP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C55923"/>
    <w:multiLevelType w:val="singleLevel"/>
    <w:tmpl w:val="94C55923"/>
    <w:lvl w:ilvl="0" w:tentative="0">
      <w:start w:val="1"/>
      <w:numFmt w:val="decimal"/>
      <w:suff w:val="space"/>
      <w:lvlText w:val="%1)"/>
      <w:lvlJc w:val="left"/>
    </w:lvl>
  </w:abstractNum>
  <w:abstractNum w:abstractNumId="1">
    <w:nsid w:val="A8E5EB3A"/>
    <w:multiLevelType w:val="singleLevel"/>
    <w:tmpl w:val="A8E5EB3A"/>
    <w:lvl w:ilvl="0" w:tentative="0">
      <w:start w:val="1"/>
      <w:numFmt w:val="decimal"/>
      <w:suff w:val="space"/>
      <w:lvlText w:val="[%1]"/>
      <w:lvlJc w:val="left"/>
    </w:lvl>
  </w:abstractNum>
  <w:abstractNum w:abstractNumId="2">
    <w:nsid w:val="DF3A705D"/>
    <w:multiLevelType w:val="multilevel"/>
    <w:tmpl w:val="DF3A705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rPr>
    </w:lvl>
    <w:lvl w:ilvl="2" w:tentative="0">
      <w:start w:val="1"/>
      <w:numFmt w:val="bullet"/>
      <w:lvlText w:val=""/>
      <w:lvlJc w:val="left"/>
      <w:pPr>
        <w:tabs>
          <w:tab w:val="left" w:pos="1260"/>
        </w:tabs>
        <w:ind w:left="1260" w:leftChars="0" w:hanging="420" w:firstLineChars="0"/>
      </w:pPr>
      <w:rPr>
        <w:rFonts w:hint="default"/>
      </w:rPr>
    </w:lvl>
    <w:lvl w:ilvl="3" w:tentative="0">
      <w:start w:val="1"/>
      <w:numFmt w:val="bullet"/>
      <w:lvlText w:val=""/>
      <w:lvlJc w:val="left"/>
      <w:pPr>
        <w:tabs>
          <w:tab w:val="left" w:pos="1680"/>
        </w:tabs>
        <w:ind w:left="1680" w:leftChars="0" w:hanging="420" w:firstLineChars="0"/>
      </w:pPr>
      <w:rPr>
        <w:rFonts w:hint="default"/>
      </w:rPr>
    </w:lvl>
    <w:lvl w:ilvl="4" w:tentative="0">
      <w:start w:val="1"/>
      <w:numFmt w:val="bullet"/>
      <w:lvlText w:val=""/>
      <w:lvlJc w:val="left"/>
      <w:pPr>
        <w:tabs>
          <w:tab w:val="left" w:pos="2100"/>
        </w:tabs>
        <w:ind w:left="2100" w:leftChars="0" w:hanging="420" w:firstLineChars="0"/>
      </w:pPr>
      <w:rPr>
        <w:rFonts w:hint="default"/>
      </w:rPr>
    </w:lvl>
    <w:lvl w:ilvl="5" w:tentative="0">
      <w:start w:val="1"/>
      <w:numFmt w:val="bullet"/>
      <w:lvlText w:val=""/>
      <w:lvlJc w:val="left"/>
      <w:pPr>
        <w:tabs>
          <w:tab w:val="left" w:pos="2520"/>
        </w:tabs>
        <w:ind w:left="2520" w:leftChars="0" w:hanging="420" w:firstLineChars="0"/>
      </w:pPr>
      <w:rPr>
        <w:rFonts w:hint="default"/>
      </w:rPr>
    </w:lvl>
    <w:lvl w:ilvl="6" w:tentative="0">
      <w:start w:val="1"/>
      <w:numFmt w:val="bullet"/>
      <w:lvlText w:val=""/>
      <w:lvlJc w:val="left"/>
      <w:pPr>
        <w:tabs>
          <w:tab w:val="left" w:pos="2940"/>
        </w:tabs>
        <w:ind w:left="2940" w:leftChars="0" w:hanging="420" w:firstLineChars="0"/>
      </w:pPr>
      <w:rPr>
        <w:rFonts w:hint="default"/>
      </w:rPr>
    </w:lvl>
    <w:lvl w:ilvl="7" w:tentative="0">
      <w:start w:val="1"/>
      <w:numFmt w:val="bullet"/>
      <w:lvlText w:val=""/>
      <w:lvlJc w:val="left"/>
      <w:pPr>
        <w:tabs>
          <w:tab w:val="left" w:pos="3360"/>
        </w:tabs>
        <w:ind w:left="3360" w:leftChars="0" w:hanging="420" w:firstLineChars="0"/>
      </w:pPr>
      <w:rPr>
        <w:rFonts w:hint="default"/>
      </w:rPr>
    </w:lvl>
    <w:lvl w:ilvl="8" w:tentative="0">
      <w:start w:val="1"/>
      <w:numFmt w:val="bullet"/>
      <w:lvlText w:val=""/>
      <w:lvlJc w:val="left"/>
      <w:pPr>
        <w:tabs>
          <w:tab w:val="left" w:pos="3780"/>
        </w:tabs>
        <w:ind w:left="3780" w:leftChars="0" w:hanging="420" w:firstLineChars="0"/>
      </w:pPr>
      <w:rPr>
        <w:rFonts w:hint="default"/>
      </w:rPr>
    </w:lvl>
  </w:abstractNum>
  <w:abstractNum w:abstractNumId="3">
    <w:nsid w:val="EE9F28D0"/>
    <w:multiLevelType w:val="singleLevel"/>
    <w:tmpl w:val="EE9F28D0"/>
    <w:lvl w:ilvl="0" w:tentative="0">
      <w:start w:val="1"/>
      <w:numFmt w:val="bullet"/>
      <w:lvlText w:val=""/>
      <w:lvlJc w:val="left"/>
      <w:pPr>
        <w:tabs>
          <w:tab w:val="left" w:pos="420"/>
        </w:tabs>
        <w:ind w:left="840" w:hanging="420"/>
      </w:pPr>
      <w:rPr>
        <w:rFonts w:hint="default" w:ascii="Wingdings" w:hAnsi="Wingdings"/>
      </w:rPr>
    </w:lvl>
  </w:abstractNum>
  <w:abstractNum w:abstractNumId="4">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38D4C6B2"/>
    <w:multiLevelType w:val="singleLevel"/>
    <w:tmpl w:val="38D4C6B2"/>
    <w:lvl w:ilvl="0" w:tentative="0">
      <w:start w:val="1"/>
      <w:numFmt w:val="bullet"/>
      <w:lvlText w:val=""/>
      <w:lvlJc w:val="left"/>
      <w:pPr>
        <w:tabs>
          <w:tab w:val="left" w:pos="420"/>
        </w:tabs>
        <w:ind w:left="840" w:hanging="420"/>
      </w:pPr>
      <w:rPr>
        <w:rFonts w:hint="default" w:ascii="Wingdings" w:hAnsi="Wingdings"/>
      </w:rPr>
    </w:lvl>
  </w:abstractNum>
  <w:abstractNum w:abstractNumId="6">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pStyle w:val="58"/>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9">
    <w:nsid w:val="759629C8"/>
    <w:multiLevelType w:val="singleLevel"/>
    <w:tmpl w:val="759629C8"/>
    <w:lvl w:ilvl="0" w:tentative="0">
      <w:start w:val="1"/>
      <w:numFmt w:val="bullet"/>
      <w:lvlText w:val=""/>
      <w:lvlJc w:val="left"/>
      <w:pPr>
        <w:tabs>
          <w:tab w:val="left" w:pos="420"/>
        </w:tabs>
        <w:ind w:left="840" w:hanging="420"/>
      </w:pPr>
      <w:rPr>
        <w:rFonts w:hint="default" w:ascii="Wingdings" w:hAnsi="Wingdings"/>
      </w:rPr>
    </w:lvl>
  </w:abstractNum>
  <w:abstractNum w:abstractNumId="10">
    <w:nsid w:val="79A86498"/>
    <w:multiLevelType w:val="singleLevel"/>
    <w:tmpl w:val="79A86498"/>
    <w:lvl w:ilvl="0" w:tentative="0">
      <w:start w:val="1"/>
      <w:numFmt w:val="bullet"/>
      <w:lvlText w:val=""/>
      <w:lvlJc w:val="left"/>
      <w:pPr>
        <w:ind w:left="420" w:hanging="420"/>
      </w:pPr>
      <w:rPr>
        <w:rFonts w:hint="default" w:ascii="Wingdings" w:hAnsi="Wingdings"/>
      </w:rPr>
    </w:lvl>
  </w:abstractNum>
  <w:num w:numId="1">
    <w:abstractNumId w:val="8"/>
  </w:num>
  <w:num w:numId="2">
    <w:abstractNumId w:val="6"/>
  </w:num>
  <w:num w:numId="3">
    <w:abstractNumId w:val="7"/>
  </w:num>
  <w:num w:numId="4">
    <w:abstractNumId w:val="4"/>
  </w:num>
  <w:num w:numId="5">
    <w:abstractNumId w:val="0"/>
  </w:num>
  <w:num w:numId="6">
    <w:abstractNumId w:val="2"/>
  </w:num>
  <w:num w:numId="7">
    <w:abstractNumId w:val="5"/>
  </w:num>
  <w:num w:numId="8">
    <w:abstractNumId w:val="9"/>
  </w:num>
  <w:num w:numId="9">
    <w:abstractNumId w:val="10"/>
  </w:num>
  <w:num w:numId="10">
    <w:abstractNumId w:val="3"/>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37CE"/>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2EA"/>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F004C"/>
    <w:rsid w:val="02122247"/>
    <w:rsid w:val="02150C3F"/>
    <w:rsid w:val="022C3A09"/>
    <w:rsid w:val="028B6A1D"/>
    <w:rsid w:val="028F1C3E"/>
    <w:rsid w:val="037D0CB3"/>
    <w:rsid w:val="03D4720A"/>
    <w:rsid w:val="03E04DEA"/>
    <w:rsid w:val="04151694"/>
    <w:rsid w:val="04654053"/>
    <w:rsid w:val="04793516"/>
    <w:rsid w:val="047A3CFF"/>
    <w:rsid w:val="04885243"/>
    <w:rsid w:val="05317828"/>
    <w:rsid w:val="05477E90"/>
    <w:rsid w:val="05BB5AB9"/>
    <w:rsid w:val="05C42923"/>
    <w:rsid w:val="05F562DB"/>
    <w:rsid w:val="06963BA6"/>
    <w:rsid w:val="06965F3C"/>
    <w:rsid w:val="07CD3CDD"/>
    <w:rsid w:val="084B363C"/>
    <w:rsid w:val="0855671D"/>
    <w:rsid w:val="089009EB"/>
    <w:rsid w:val="09716BCA"/>
    <w:rsid w:val="098C1CEA"/>
    <w:rsid w:val="09D64B23"/>
    <w:rsid w:val="09E644B8"/>
    <w:rsid w:val="0A383F61"/>
    <w:rsid w:val="0B12013A"/>
    <w:rsid w:val="0B1C5C6A"/>
    <w:rsid w:val="0B243EFB"/>
    <w:rsid w:val="0B3D3C2F"/>
    <w:rsid w:val="0B5D15B4"/>
    <w:rsid w:val="0B6204CF"/>
    <w:rsid w:val="0BAC06FA"/>
    <w:rsid w:val="0BB0429A"/>
    <w:rsid w:val="0BFF5FC6"/>
    <w:rsid w:val="0C276675"/>
    <w:rsid w:val="0C394019"/>
    <w:rsid w:val="0EC91588"/>
    <w:rsid w:val="0F6C0B73"/>
    <w:rsid w:val="0F8009F9"/>
    <w:rsid w:val="10997F43"/>
    <w:rsid w:val="10DE7BAE"/>
    <w:rsid w:val="11023BFD"/>
    <w:rsid w:val="110404BB"/>
    <w:rsid w:val="111C20F6"/>
    <w:rsid w:val="11DD2CBB"/>
    <w:rsid w:val="11ED345F"/>
    <w:rsid w:val="120774A3"/>
    <w:rsid w:val="12580C13"/>
    <w:rsid w:val="130B3696"/>
    <w:rsid w:val="14006D19"/>
    <w:rsid w:val="1414436B"/>
    <w:rsid w:val="1481754F"/>
    <w:rsid w:val="148F5721"/>
    <w:rsid w:val="14AC57CD"/>
    <w:rsid w:val="14B9644E"/>
    <w:rsid w:val="15ED3E9B"/>
    <w:rsid w:val="164514BE"/>
    <w:rsid w:val="16E8141E"/>
    <w:rsid w:val="170F06AA"/>
    <w:rsid w:val="17225508"/>
    <w:rsid w:val="17B52E39"/>
    <w:rsid w:val="180A6E32"/>
    <w:rsid w:val="183F2CD2"/>
    <w:rsid w:val="1856323E"/>
    <w:rsid w:val="188D6BB6"/>
    <w:rsid w:val="18AF55E3"/>
    <w:rsid w:val="18B1519A"/>
    <w:rsid w:val="18CD0507"/>
    <w:rsid w:val="19561039"/>
    <w:rsid w:val="195D7D48"/>
    <w:rsid w:val="19852D03"/>
    <w:rsid w:val="1A6F1A83"/>
    <w:rsid w:val="1A8460D9"/>
    <w:rsid w:val="1AD01A1B"/>
    <w:rsid w:val="1B4C5221"/>
    <w:rsid w:val="1B61065A"/>
    <w:rsid w:val="1B940E5A"/>
    <w:rsid w:val="1BBF3927"/>
    <w:rsid w:val="1C0B14AE"/>
    <w:rsid w:val="1C177B08"/>
    <w:rsid w:val="1C644189"/>
    <w:rsid w:val="1C9001C6"/>
    <w:rsid w:val="1CBA2101"/>
    <w:rsid w:val="1D0573D7"/>
    <w:rsid w:val="1D153DC4"/>
    <w:rsid w:val="1D223E0B"/>
    <w:rsid w:val="1D3A54CD"/>
    <w:rsid w:val="1DF33EB1"/>
    <w:rsid w:val="1E132F88"/>
    <w:rsid w:val="1E2867E9"/>
    <w:rsid w:val="1E853F6F"/>
    <w:rsid w:val="1E9C7BCC"/>
    <w:rsid w:val="1ECC1E3C"/>
    <w:rsid w:val="1F5B4632"/>
    <w:rsid w:val="1FFD4083"/>
    <w:rsid w:val="20013E13"/>
    <w:rsid w:val="20122D1B"/>
    <w:rsid w:val="202F3D4C"/>
    <w:rsid w:val="205F4D3D"/>
    <w:rsid w:val="206F1E13"/>
    <w:rsid w:val="20E2786E"/>
    <w:rsid w:val="21014C39"/>
    <w:rsid w:val="21045DF0"/>
    <w:rsid w:val="21244EB1"/>
    <w:rsid w:val="213964D8"/>
    <w:rsid w:val="21595D04"/>
    <w:rsid w:val="21835807"/>
    <w:rsid w:val="21F13629"/>
    <w:rsid w:val="22AF59B6"/>
    <w:rsid w:val="2305377E"/>
    <w:rsid w:val="231A76D5"/>
    <w:rsid w:val="23BE460D"/>
    <w:rsid w:val="24122135"/>
    <w:rsid w:val="24A72551"/>
    <w:rsid w:val="24D4257E"/>
    <w:rsid w:val="24DC3855"/>
    <w:rsid w:val="24F5519F"/>
    <w:rsid w:val="25362D8A"/>
    <w:rsid w:val="2572202B"/>
    <w:rsid w:val="25AE612B"/>
    <w:rsid w:val="2605683C"/>
    <w:rsid w:val="26661176"/>
    <w:rsid w:val="26672AC5"/>
    <w:rsid w:val="26BB1419"/>
    <w:rsid w:val="27315D1D"/>
    <w:rsid w:val="27B748AA"/>
    <w:rsid w:val="27CB4CB9"/>
    <w:rsid w:val="27CC4452"/>
    <w:rsid w:val="281C2F58"/>
    <w:rsid w:val="28CD5B2D"/>
    <w:rsid w:val="292D5BF2"/>
    <w:rsid w:val="292F6239"/>
    <w:rsid w:val="29642C4B"/>
    <w:rsid w:val="29A66B9A"/>
    <w:rsid w:val="29B35277"/>
    <w:rsid w:val="2A34628C"/>
    <w:rsid w:val="2A724D05"/>
    <w:rsid w:val="2A7E505C"/>
    <w:rsid w:val="2AC85686"/>
    <w:rsid w:val="2AD04B5F"/>
    <w:rsid w:val="2B39549B"/>
    <w:rsid w:val="2BC05B2C"/>
    <w:rsid w:val="2BD617C5"/>
    <w:rsid w:val="2C112837"/>
    <w:rsid w:val="2C360608"/>
    <w:rsid w:val="2E014790"/>
    <w:rsid w:val="2EAE66A3"/>
    <w:rsid w:val="2EE77680"/>
    <w:rsid w:val="2F2F0FC8"/>
    <w:rsid w:val="2F591020"/>
    <w:rsid w:val="2F8E63A4"/>
    <w:rsid w:val="301C6BB6"/>
    <w:rsid w:val="30723652"/>
    <w:rsid w:val="30766FB2"/>
    <w:rsid w:val="30E965CE"/>
    <w:rsid w:val="312654EA"/>
    <w:rsid w:val="31565660"/>
    <w:rsid w:val="319708F2"/>
    <w:rsid w:val="31B14C9E"/>
    <w:rsid w:val="31E00A6C"/>
    <w:rsid w:val="31FE2981"/>
    <w:rsid w:val="32545CB6"/>
    <w:rsid w:val="33C522D7"/>
    <w:rsid w:val="33D97FA6"/>
    <w:rsid w:val="33F228A5"/>
    <w:rsid w:val="347C19A0"/>
    <w:rsid w:val="34807672"/>
    <w:rsid w:val="351B1E30"/>
    <w:rsid w:val="351D459F"/>
    <w:rsid w:val="358E5935"/>
    <w:rsid w:val="35B06C6A"/>
    <w:rsid w:val="36941AA2"/>
    <w:rsid w:val="36B46C09"/>
    <w:rsid w:val="36D37423"/>
    <w:rsid w:val="379D23F9"/>
    <w:rsid w:val="37E74183"/>
    <w:rsid w:val="38230E9D"/>
    <w:rsid w:val="3A185287"/>
    <w:rsid w:val="3A1F46B8"/>
    <w:rsid w:val="3A495290"/>
    <w:rsid w:val="3A692CD0"/>
    <w:rsid w:val="3B270929"/>
    <w:rsid w:val="3B3D5571"/>
    <w:rsid w:val="3B5D276F"/>
    <w:rsid w:val="3B673620"/>
    <w:rsid w:val="3B9A1F29"/>
    <w:rsid w:val="3CA83595"/>
    <w:rsid w:val="3CE4646B"/>
    <w:rsid w:val="3D5E7AA8"/>
    <w:rsid w:val="3D6F2596"/>
    <w:rsid w:val="3F5E503E"/>
    <w:rsid w:val="405F175E"/>
    <w:rsid w:val="40737877"/>
    <w:rsid w:val="407D705A"/>
    <w:rsid w:val="40A811A8"/>
    <w:rsid w:val="40C765F3"/>
    <w:rsid w:val="41B8634B"/>
    <w:rsid w:val="41C755BE"/>
    <w:rsid w:val="42424160"/>
    <w:rsid w:val="427919DF"/>
    <w:rsid w:val="42A01CD1"/>
    <w:rsid w:val="42B16B47"/>
    <w:rsid w:val="42F869D2"/>
    <w:rsid w:val="433D4368"/>
    <w:rsid w:val="43553536"/>
    <w:rsid w:val="438A79C8"/>
    <w:rsid w:val="44972678"/>
    <w:rsid w:val="44C465F8"/>
    <w:rsid w:val="451632B9"/>
    <w:rsid w:val="45906394"/>
    <w:rsid w:val="45D40A2F"/>
    <w:rsid w:val="45F60A50"/>
    <w:rsid w:val="46142D0C"/>
    <w:rsid w:val="46151904"/>
    <w:rsid w:val="463A5AC1"/>
    <w:rsid w:val="46970A81"/>
    <w:rsid w:val="46B036BF"/>
    <w:rsid w:val="46EE1939"/>
    <w:rsid w:val="47282363"/>
    <w:rsid w:val="476B3528"/>
    <w:rsid w:val="47C726B0"/>
    <w:rsid w:val="47EC7B96"/>
    <w:rsid w:val="485C7C16"/>
    <w:rsid w:val="489C691C"/>
    <w:rsid w:val="49DC4EAC"/>
    <w:rsid w:val="49E55BC5"/>
    <w:rsid w:val="4B9C7CDF"/>
    <w:rsid w:val="4C1C63D6"/>
    <w:rsid w:val="4C864A35"/>
    <w:rsid w:val="4E015C76"/>
    <w:rsid w:val="4E1A3FA5"/>
    <w:rsid w:val="4E310026"/>
    <w:rsid w:val="4E4A2325"/>
    <w:rsid w:val="4E702749"/>
    <w:rsid w:val="4EC85323"/>
    <w:rsid w:val="4EDB3464"/>
    <w:rsid w:val="501A6C55"/>
    <w:rsid w:val="51234069"/>
    <w:rsid w:val="51B14BED"/>
    <w:rsid w:val="52526454"/>
    <w:rsid w:val="525C1CEF"/>
    <w:rsid w:val="528B5767"/>
    <w:rsid w:val="52A77D4F"/>
    <w:rsid w:val="52D33625"/>
    <w:rsid w:val="52FD1C01"/>
    <w:rsid w:val="52FD33B4"/>
    <w:rsid w:val="536E37BE"/>
    <w:rsid w:val="5372021A"/>
    <w:rsid w:val="53842339"/>
    <w:rsid w:val="53A3105E"/>
    <w:rsid w:val="53C64B93"/>
    <w:rsid w:val="548A6C60"/>
    <w:rsid w:val="54E07F19"/>
    <w:rsid w:val="551F20A6"/>
    <w:rsid w:val="55B1164D"/>
    <w:rsid w:val="55B4735E"/>
    <w:rsid w:val="55BB221D"/>
    <w:rsid w:val="56371459"/>
    <w:rsid w:val="56484633"/>
    <w:rsid w:val="569D39ED"/>
    <w:rsid w:val="574B3EB2"/>
    <w:rsid w:val="58D0053D"/>
    <w:rsid w:val="58F67DF5"/>
    <w:rsid w:val="59064002"/>
    <w:rsid w:val="59745E07"/>
    <w:rsid w:val="598C40A0"/>
    <w:rsid w:val="59930B2E"/>
    <w:rsid w:val="59DA647E"/>
    <w:rsid w:val="5A556E1A"/>
    <w:rsid w:val="5B9464DF"/>
    <w:rsid w:val="5C1166E3"/>
    <w:rsid w:val="5E2864D0"/>
    <w:rsid w:val="5E494511"/>
    <w:rsid w:val="5E7C0F18"/>
    <w:rsid w:val="5EB44FC0"/>
    <w:rsid w:val="5EB81F13"/>
    <w:rsid w:val="5EDA64BC"/>
    <w:rsid w:val="5F207F65"/>
    <w:rsid w:val="5F6666BE"/>
    <w:rsid w:val="5FBA395F"/>
    <w:rsid w:val="60B92183"/>
    <w:rsid w:val="60EC2CBA"/>
    <w:rsid w:val="61661B78"/>
    <w:rsid w:val="618636C8"/>
    <w:rsid w:val="61CC2D28"/>
    <w:rsid w:val="62DE3B93"/>
    <w:rsid w:val="630C63B9"/>
    <w:rsid w:val="63454F29"/>
    <w:rsid w:val="635902CD"/>
    <w:rsid w:val="642A3E76"/>
    <w:rsid w:val="645814EE"/>
    <w:rsid w:val="645E1DDB"/>
    <w:rsid w:val="64706BBE"/>
    <w:rsid w:val="64F2095B"/>
    <w:rsid w:val="65267327"/>
    <w:rsid w:val="65D63F94"/>
    <w:rsid w:val="66036AF7"/>
    <w:rsid w:val="66850BFA"/>
    <w:rsid w:val="67594709"/>
    <w:rsid w:val="67A858DB"/>
    <w:rsid w:val="67FE4166"/>
    <w:rsid w:val="68AD2162"/>
    <w:rsid w:val="68C401C3"/>
    <w:rsid w:val="69045D7F"/>
    <w:rsid w:val="693027BF"/>
    <w:rsid w:val="6968769B"/>
    <w:rsid w:val="696C5A1D"/>
    <w:rsid w:val="69831B57"/>
    <w:rsid w:val="698E7A9D"/>
    <w:rsid w:val="69A833BD"/>
    <w:rsid w:val="69FB3F8F"/>
    <w:rsid w:val="6A5D78D5"/>
    <w:rsid w:val="6A85354A"/>
    <w:rsid w:val="6B891BF1"/>
    <w:rsid w:val="6BE46C6E"/>
    <w:rsid w:val="6C5B584F"/>
    <w:rsid w:val="6C8E0C06"/>
    <w:rsid w:val="6CD1716B"/>
    <w:rsid w:val="6D566F0F"/>
    <w:rsid w:val="6D7A1775"/>
    <w:rsid w:val="6D836F72"/>
    <w:rsid w:val="6DC2026F"/>
    <w:rsid w:val="6DDE3DAF"/>
    <w:rsid w:val="6E281030"/>
    <w:rsid w:val="6E2C7D5B"/>
    <w:rsid w:val="6E3241BE"/>
    <w:rsid w:val="6EB97A9D"/>
    <w:rsid w:val="6EC82818"/>
    <w:rsid w:val="6EF10A90"/>
    <w:rsid w:val="6F9621E0"/>
    <w:rsid w:val="6FC2089A"/>
    <w:rsid w:val="6FD45BF8"/>
    <w:rsid w:val="6FFF1868"/>
    <w:rsid w:val="70332195"/>
    <w:rsid w:val="712150A0"/>
    <w:rsid w:val="71507435"/>
    <w:rsid w:val="715F4C2D"/>
    <w:rsid w:val="721C3FA1"/>
    <w:rsid w:val="722F78FB"/>
    <w:rsid w:val="723D67C5"/>
    <w:rsid w:val="7244013B"/>
    <w:rsid w:val="7250627B"/>
    <w:rsid w:val="72BF60CA"/>
    <w:rsid w:val="72F41282"/>
    <w:rsid w:val="733D0D32"/>
    <w:rsid w:val="73D411F1"/>
    <w:rsid w:val="74165422"/>
    <w:rsid w:val="753811DE"/>
    <w:rsid w:val="75647498"/>
    <w:rsid w:val="7566040A"/>
    <w:rsid w:val="757733D9"/>
    <w:rsid w:val="75A7114C"/>
    <w:rsid w:val="75BE67D4"/>
    <w:rsid w:val="75C2004C"/>
    <w:rsid w:val="75C759C1"/>
    <w:rsid w:val="760F5DAE"/>
    <w:rsid w:val="762D64F3"/>
    <w:rsid w:val="766B6FB4"/>
    <w:rsid w:val="767E7EFF"/>
    <w:rsid w:val="76A9299C"/>
    <w:rsid w:val="775B4604"/>
    <w:rsid w:val="77C067C3"/>
    <w:rsid w:val="77EA64D7"/>
    <w:rsid w:val="782347DB"/>
    <w:rsid w:val="78911E31"/>
    <w:rsid w:val="7922350F"/>
    <w:rsid w:val="792B5470"/>
    <w:rsid w:val="79B2715A"/>
    <w:rsid w:val="79C637D8"/>
    <w:rsid w:val="7A9367CB"/>
    <w:rsid w:val="7AA10DE7"/>
    <w:rsid w:val="7AD3168F"/>
    <w:rsid w:val="7AF22571"/>
    <w:rsid w:val="7B69224B"/>
    <w:rsid w:val="7BE80F25"/>
    <w:rsid w:val="7C1C35A7"/>
    <w:rsid w:val="7C45431D"/>
    <w:rsid w:val="7C952974"/>
    <w:rsid w:val="7D243E1C"/>
    <w:rsid w:val="7D3219D5"/>
    <w:rsid w:val="7D734AA7"/>
    <w:rsid w:val="7DDD0501"/>
    <w:rsid w:val="7DE51372"/>
    <w:rsid w:val="7E5E590F"/>
    <w:rsid w:val="7E935AFB"/>
    <w:rsid w:val="7F2B7B96"/>
    <w:rsid w:val="7FC90A85"/>
    <w:rsid w:val="7FD02878"/>
    <w:rsid w:val="7FF73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9"/>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3"/>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6"/>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5"/>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8">
    <w:name w:val="样式3"/>
    <w:basedOn w:val="28"/>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2024-02-19T09:58:42Z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AE12E00B060A4B598356520CC3E162FF</vt:lpwstr>
  </property>
</Properties>
</file>